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Weston-super-Mare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Weston-super-Mare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Weston-super-Mare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Weston-super-Mare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Weston-super-Mare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Weston-super-Mare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60.7% </w:t>
      </w:r>
      <w:r w:rsidRPr="004747BF">
        <w:rPr>
          <w:rFonts w:ascii="Libre Franklin Light" w:eastAsia="Times New Roman" w:hAnsi="Libre Franklin Light" w:cs="Calibri Light"/>
        </w:rPr>
        <w:t xml:space="preserve">of those respondents classified as PGSI 8+ in Weston-super-Mare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Weston-super-Mare is estimated to be </w:t>
      </w:r>
      <w:r w:rsidRPr="00773DF7">
        <w:rPr>
          <w:rFonts w:ascii="Libre Franklin Light" w:eastAsia="Times New Roman" w:hAnsi="Libre Franklin Light" w:cs="Calibri Light"/>
          <w:b/>
          <w:bCs/>
          <w:color w:val="C45911" w:themeColor="accent2" w:themeShade="BF"/>
        </w:rPr>
        <w:t xml:space="preserve">£1,659,898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Weston-super-Mare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Weston-super-Mare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Weston-super-Mare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Weston-super-Mare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on-super-Ma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Weston-super-Mare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on-super-Ma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Weston-super-Mare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Weston-super-Mare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on-super-Ma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Weston-super-Mare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Weston-super-Mare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Weston-super-Mare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Weston-super-Mare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Weston-super-Mare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Weston-super-Mare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£1,659,898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Weston-super-Mare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£27,037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£559,141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£40,055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£11,265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£20,653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£1,001,747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£1,659,898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Weston-super-Mare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Weston-super-Mare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Weston-super-Mare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Weston-super-Mare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Weston-super-Mare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Weston-super-Mare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Weston-super-Mare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Weston-super-Mare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Weston-super-Mare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Weston-super-Mare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Weston-super-Mare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Weston-super-Mare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2E82533-8555-4105-9E96-75239792C20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